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EC3C0" w14:textId="77777777" w:rsidR="00051732" w:rsidRPr="00217A1B" w:rsidRDefault="007A6A96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2D909A" wp14:editId="68113D08">
            <wp:extent cx="1419123" cy="48608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ca-brand-mas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123" cy="48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217A1B">
        <w:rPr>
          <w:b/>
          <w:sz w:val="28"/>
          <w:szCs w:val="28"/>
          <w:u w:val="single"/>
        </w:rPr>
        <w:t xml:space="preserve">Florida </w:t>
      </w:r>
      <w:r w:rsidR="0063663C">
        <w:rPr>
          <w:b/>
          <w:sz w:val="28"/>
          <w:szCs w:val="28"/>
          <w:u w:val="single"/>
        </w:rPr>
        <w:t>Citizens Alliance 2018 L</w:t>
      </w:r>
      <w:r w:rsidRPr="00217A1B">
        <w:rPr>
          <w:b/>
          <w:sz w:val="28"/>
          <w:szCs w:val="28"/>
          <w:u w:val="single"/>
        </w:rPr>
        <w:t>egislative Agenda.</w:t>
      </w:r>
    </w:p>
    <w:p w14:paraId="7CC83C37" w14:textId="77777777" w:rsidR="007A6A96" w:rsidRPr="00284EB4" w:rsidRDefault="007A6A96" w:rsidP="007A6A96">
      <w:pPr>
        <w:spacing w:after="0" w:line="240" w:lineRule="auto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</w:rPr>
      </w:pPr>
      <w:r w:rsidRPr="00284EB4">
        <w:rPr>
          <w:rFonts w:eastAsia="Times New Roman" w:cs="Helvetica"/>
          <w:b/>
          <w:bCs/>
          <w:i/>
          <w:iCs/>
          <w:color w:val="222222"/>
          <w:bdr w:val="none" w:sz="0" w:space="0" w:color="auto" w:frame="1"/>
        </w:rPr>
        <w:t>The Florida Citizens’ Alliance (FLCA)</w:t>
      </w:r>
      <w:r w:rsidRPr="00284EB4">
        <w:rPr>
          <w:rFonts w:eastAsia="Times New Roman" w:cs="Helvetica"/>
          <w:b/>
          <w:color w:val="222222"/>
        </w:rPr>
        <w:t> is a coalition of 80+ grassroots groups</w:t>
      </w:r>
      <w:r w:rsidR="00893B3D" w:rsidRPr="00284EB4">
        <w:rPr>
          <w:rFonts w:eastAsia="Times New Roman" w:cs="Helvetica"/>
          <w:b/>
          <w:color w:val="222222"/>
        </w:rPr>
        <w:t xml:space="preserve"> (</w:t>
      </w:r>
      <w:r w:rsidR="0058604F" w:rsidRPr="00284EB4">
        <w:rPr>
          <w:rFonts w:eastAsia="Times New Roman" w:cs="Helvetica"/>
          <w:b/>
          <w:color w:val="222222"/>
        </w:rPr>
        <w:t xml:space="preserve">20k+ supporters) </w:t>
      </w:r>
      <w:r w:rsidRPr="00284EB4">
        <w:rPr>
          <w:rFonts w:eastAsia="Times New Roman" w:cs="Helvetica"/>
          <w:b/>
          <w:color w:val="222222"/>
        </w:rPr>
        <w:t xml:space="preserve">  working together through education, outreach and community involvement to advance the </w:t>
      </w:r>
      <w:r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ideals and principles of liberty. </w:t>
      </w:r>
      <w:r w:rsidR="00166C58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Education Reform based on </w:t>
      </w:r>
      <w:r w:rsidR="00326ACB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>competition, innovation</w:t>
      </w:r>
      <w:r w:rsidR="00BD0624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 and </w:t>
      </w:r>
      <w:r w:rsidR="00166C58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>parental univers</w:t>
      </w:r>
      <w:r w:rsidR="00AA3D53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>al</w:t>
      </w:r>
      <w:r w:rsidR="00166C58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 choice is the only way forward. </w:t>
      </w:r>
      <w:r w:rsidR="00217A1B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>La</w:t>
      </w:r>
      <w:r w:rsidR="0063663C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>st year</w:t>
      </w:r>
      <w:r w:rsidR="00893B3D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>,</w:t>
      </w:r>
      <w:r w:rsidR="0063663C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 you all passed and G</w:t>
      </w:r>
      <w:r w:rsidR="00217A1B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overnor </w:t>
      </w:r>
      <w:r w:rsidR="0063663C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Scott </w:t>
      </w:r>
      <w:r w:rsidR="00284EB4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>signed CS/989</w:t>
      </w:r>
      <w:r w:rsidR="00217A1B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 I</w:t>
      </w:r>
      <w:r w:rsidR="0063663C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nstructional Materials. This </w:t>
      </w:r>
      <w:r w:rsidR="0058604F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is a </w:t>
      </w:r>
      <w:r w:rsidR="00217A1B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>start but only the beginning.</w:t>
      </w:r>
      <w:r w:rsidR="0063663C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 </w:t>
      </w:r>
      <w:r w:rsidR="00166C58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br/>
      </w:r>
      <w:r w:rsidR="00217A1B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br/>
      </w:r>
      <w:r w:rsidR="00284EB4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We thank you if you supported HB 7069. </w:t>
      </w:r>
      <w:r w:rsidR="00217A1B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>FLCA was</w:t>
      </w:r>
      <w:r w:rsidR="00AA3D53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 and is</w:t>
      </w:r>
      <w:r w:rsidR="00217A1B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 </w:t>
      </w:r>
      <w:r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strong supporter of HB 7069, making a major step forward </w:t>
      </w:r>
      <w:r w:rsidR="0063663C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to </w:t>
      </w:r>
      <w:r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encourage competition </w:t>
      </w:r>
      <w:r w:rsidR="0063663C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and innovation for </w:t>
      </w:r>
      <w:r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>better educational outcomes for our 2.8m children in Florida.</w:t>
      </w:r>
    </w:p>
    <w:p w14:paraId="28BB1546" w14:textId="77777777" w:rsidR="007A6A96" w:rsidRPr="00284EB4" w:rsidRDefault="007A6A96" w:rsidP="007A6A96">
      <w:pPr>
        <w:spacing w:after="0" w:line="240" w:lineRule="auto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</w:rPr>
      </w:pPr>
    </w:p>
    <w:p w14:paraId="2C2BEBAF" w14:textId="77777777" w:rsidR="00BB3140" w:rsidRPr="00284EB4" w:rsidRDefault="007A6A96" w:rsidP="00BB3140">
      <w:pPr>
        <w:spacing w:after="0" w:line="240" w:lineRule="auto"/>
        <w:textAlignment w:val="baseline"/>
        <w:rPr>
          <w:rFonts w:eastAsia="Times New Roman" w:cs="Helvetica"/>
          <w:b/>
          <w:bCs/>
          <w:color w:val="222222"/>
          <w:bdr w:val="none" w:sz="0" w:space="0" w:color="auto" w:frame="1"/>
        </w:rPr>
      </w:pPr>
      <w:r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>For this 2018 Legislative cycle</w:t>
      </w:r>
      <w:r w:rsidR="00217A1B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>,</w:t>
      </w:r>
      <w:r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 </w:t>
      </w:r>
      <w:r w:rsidR="00217A1B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>as supporters of FLCA</w:t>
      </w:r>
      <w:r w:rsidR="0058604F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>,</w:t>
      </w:r>
      <w:r w:rsidR="00217A1B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 </w:t>
      </w:r>
      <w:r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we urge </w:t>
      </w:r>
      <w:r w:rsidR="00217A1B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you </w:t>
      </w:r>
      <w:r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in the strongest terms to be leaders </w:t>
      </w:r>
      <w:r w:rsidR="00217A1B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to improve </w:t>
      </w:r>
      <w:r w:rsidR="0063663C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student outcomes and advance </w:t>
      </w:r>
      <w:r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these </w:t>
      </w:r>
      <w:r w:rsidR="0063663C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3 </w:t>
      </w:r>
      <w:r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 xml:space="preserve">FLCA education </w:t>
      </w:r>
      <w:r w:rsidR="00BD0624"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>bills</w:t>
      </w:r>
      <w:r w:rsidRPr="00284EB4">
        <w:rPr>
          <w:rFonts w:eastAsia="Times New Roman" w:cs="Helvetica"/>
          <w:b/>
          <w:bCs/>
          <w:color w:val="222222"/>
          <w:bdr w:val="none" w:sz="0" w:space="0" w:color="auto" w:frame="1"/>
        </w:rPr>
        <w:t>:</w:t>
      </w:r>
      <w:r w:rsidR="00BB3140" w:rsidRPr="00284EB4">
        <w:br/>
      </w:r>
    </w:p>
    <w:p w14:paraId="2BFD5677" w14:textId="77777777" w:rsidR="005E7B23" w:rsidRPr="00AA3D53" w:rsidRDefault="00BD0624" w:rsidP="00BB314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b/>
          <w:color w:val="31849B" w:themeColor="accent5" w:themeShade="BF"/>
          <w:sz w:val="21"/>
          <w:szCs w:val="21"/>
        </w:rPr>
      </w:pPr>
      <w:r w:rsidRPr="00AA3D53">
        <w:rPr>
          <w:b/>
          <w:color w:val="31849B" w:themeColor="accent5" w:themeShade="BF"/>
          <w:sz w:val="21"/>
          <w:szCs w:val="21"/>
        </w:rPr>
        <w:t>Minimum requirements to fix</w:t>
      </w:r>
      <w:r w:rsidR="00BB3140" w:rsidRPr="00AA3D53">
        <w:rPr>
          <w:b/>
          <w:color w:val="31849B" w:themeColor="accent5" w:themeShade="BF"/>
          <w:sz w:val="21"/>
          <w:szCs w:val="21"/>
        </w:rPr>
        <w:t xml:space="preserve"> FL DOE Instructional Materials 2018 </w:t>
      </w:r>
      <w:r w:rsidR="0063663C" w:rsidRPr="00AA3D53">
        <w:rPr>
          <w:b/>
          <w:color w:val="31849B" w:themeColor="accent5" w:themeShade="BF"/>
          <w:sz w:val="21"/>
          <w:szCs w:val="21"/>
        </w:rPr>
        <w:t>process</w:t>
      </w:r>
      <w:r w:rsidR="00BB3140" w:rsidRPr="00A45749">
        <w:rPr>
          <w:b/>
          <w:sz w:val="21"/>
          <w:szCs w:val="21"/>
        </w:rPr>
        <w:t xml:space="preserve">. </w:t>
      </w:r>
      <w:r w:rsidR="00217A1B" w:rsidRPr="00284EB4">
        <w:rPr>
          <w:rFonts w:eastAsia="Times New Roman" w:cs="Helvetica"/>
          <w:b/>
          <w:bCs/>
          <w:color w:val="222222"/>
          <w:sz w:val="20"/>
          <w:szCs w:val="20"/>
          <w:bdr w:val="none" w:sz="0" w:space="0" w:color="auto" w:frame="1"/>
        </w:rPr>
        <w:t>CS 989 that</w:t>
      </w:r>
      <w:r w:rsidR="00A873C2" w:rsidRPr="00284EB4">
        <w:rPr>
          <w:rFonts w:eastAsia="Times New Roman" w:cs="Helvetica"/>
          <w:b/>
          <w:bCs/>
          <w:color w:val="222222"/>
          <w:sz w:val="20"/>
          <w:szCs w:val="20"/>
          <w:bdr w:val="none" w:sz="0" w:space="0" w:color="auto" w:frame="1"/>
        </w:rPr>
        <w:t xml:space="preserve"> </w:t>
      </w:r>
      <w:r w:rsidR="00217A1B" w:rsidRPr="00284EB4">
        <w:rPr>
          <w:rFonts w:eastAsia="Times New Roman" w:cs="Helvetica"/>
          <w:b/>
          <w:bCs/>
          <w:color w:val="222222"/>
          <w:sz w:val="20"/>
          <w:szCs w:val="20"/>
          <w:bdr w:val="none" w:sz="0" w:space="0" w:color="auto" w:frame="1"/>
        </w:rPr>
        <w:t xml:space="preserve">Governor Scott signed into law </w:t>
      </w:r>
      <w:r w:rsidR="00217A1B" w:rsidRPr="00284EB4">
        <w:rPr>
          <w:rFonts w:eastAsia="Times New Roman" w:cs="Helvetica"/>
          <w:b/>
          <w:bCs/>
          <w:color w:val="222222"/>
          <w:sz w:val="20"/>
          <w:szCs w:val="20"/>
          <w:u w:val="single"/>
          <w:bdr w:val="none" w:sz="0" w:space="0" w:color="auto" w:frame="1"/>
        </w:rPr>
        <w:t xml:space="preserve">begins to </w:t>
      </w:r>
      <w:proofErr w:type="spellStart"/>
      <w:r w:rsidR="00284EB4" w:rsidRPr="00284EB4">
        <w:rPr>
          <w:rFonts w:eastAsia="Times New Roman" w:cs="Helvetica"/>
          <w:b/>
          <w:bCs/>
          <w:color w:val="222222"/>
          <w:sz w:val="20"/>
          <w:szCs w:val="20"/>
          <w:u w:val="single"/>
          <w:bdr w:val="none" w:sz="0" w:space="0" w:color="auto" w:frame="1"/>
        </w:rPr>
        <w:t>to</w:t>
      </w:r>
      <w:proofErr w:type="spellEnd"/>
      <w:r w:rsidR="00284EB4" w:rsidRPr="00284EB4">
        <w:rPr>
          <w:rFonts w:eastAsia="Times New Roman" w:cs="Helvetica"/>
          <w:b/>
          <w:bCs/>
          <w:color w:val="222222"/>
          <w:sz w:val="20"/>
          <w:szCs w:val="20"/>
          <w:u w:val="single"/>
          <w:bdr w:val="none" w:sz="0" w:space="0" w:color="auto" w:frame="1"/>
        </w:rPr>
        <w:t xml:space="preserve"> address the political, religious and sexually explicit  indoctrination </w:t>
      </w:r>
      <w:r w:rsidR="00217A1B" w:rsidRPr="00284EB4">
        <w:rPr>
          <w:rFonts w:eastAsia="Times New Roman" w:cs="Helvetica"/>
          <w:b/>
          <w:bCs/>
          <w:color w:val="222222"/>
          <w:sz w:val="20"/>
          <w:szCs w:val="20"/>
          <w:u w:val="single"/>
          <w:bdr w:val="none" w:sz="0" w:space="0" w:color="auto" w:frame="1"/>
        </w:rPr>
        <w:t xml:space="preserve">in </w:t>
      </w:r>
      <w:r w:rsidR="00284EB4" w:rsidRPr="00284EB4">
        <w:rPr>
          <w:rFonts w:eastAsia="Times New Roman" w:cs="Helvetica"/>
          <w:b/>
          <w:bCs/>
          <w:color w:val="222222"/>
          <w:sz w:val="20"/>
          <w:szCs w:val="20"/>
          <w:u w:val="single"/>
          <w:bdr w:val="none" w:sz="0" w:space="0" w:color="auto" w:frame="1"/>
        </w:rPr>
        <w:t xml:space="preserve">Florida’s </w:t>
      </w:r>
      <w:r w:rsidR="00217A1B" w:rsidRPr="00284EB4">
        <w:rPr>
          <w:rFonts w:eastAsia="Times New Roman" w:cs="Helvetica"/>
          <w:b/>
          <w:bCs/>
          <w:color w:val="222222"/>
          <w:sz w:val="20"/>
          <w:szCs w:val="20"/>
          <w:u w:val="single"/>
          <w:bdr w:val="none" w:sz="0" w:space="0" w:color="auto" w:frame="1"/>
        </w:rPr>
        <w:t>education curriculum.</w:t>
      </w:r>
      <w:r w:rsidR="00217A1B" w:rsidRPr="00284EB4">
        <w:rPr>
          <w:rFonts w:eastAsia="Times New Roman" w:cs="Helvetica"/>
          <w:b/>
          <w:bCs/>
          <w:color w:val="222222"/>
          <w:sz w:val="20"/>
          <w:szCs w:val="20"/>
          <w:bdr w:val="none" w:sz="0" w:space="0" w:color="auto" w:frame="1"/>
        </w:rPr>
        <w:t xml:space="preserve">  But Instructional materials that are being recommended for adoption from the FL DOE process are also riddled with political and religious indoctrination, revisionist </w:t>
      </w:r>
      <w:r w:rsidR="00326ACB" w:rsidRPr="00284EB4">
        <w:rPr>
          <w:rFonts w:eastAsia="Times New Roman" w:cs="Helvetica"/>
          <w:b/>
          <w:bCs/>
          <w:color w:val="222222"/>
          <w:sz w:val="20"/>
          <w:szCs w:val="20"/>
          <w:bdr w:val="none" w:sz="0" w:space="0" w:color="auto" w:frame="1"/>
        </w:rPr>
        <w:t>history, distortions</w:t>
      </w:r>
      <w:r w:rsidR="00217A1B" w:rsidRPr="00284EB4">
        <w:rPr>
          <w:rFonts w:eastAsia="Times New Roman" w:cs="Helvetica"/>
          <w:b/>
          <w:bCs/>
          <w:color w:val="222222"/>
          <w:sz w:val="20"/>
          <w:szCs w:val="20"/>
          <w:bdr w:val="none" w:sz="0" w:space="0" w:color="auto" w:frame="1"/>
        </w:rPr>
        <w:t xml:space="preserve"> of our founding principles and sexually explicit materials.  </w:t>
      </w:r>
      <w:r w:rsidR="00217A1B" w:rsidRPr="00284EB4">
        <w:rPr>
          <w:rFonts w:eastAsia="Times New Roman" w:cs="Helvetica"/>
          <w:b/>
          <w:bCs/>
          <w:color w:val="222222"/>
          <w:sz w:val="20"/>
          <w:szCs w:val="20"/>
          <w:u w:val="single"/>
          <w:bdr w:val="none" w:sz="0" w:space="0" w:color="auto" w:frame="1"/>
        </w:rPr>
        <w:t xml:space="preserve">This FL DOE </w:t>
      </w:r>
      <w:r w:rsidR="0063663C" w:rsidRPr="00284EB4">
        <w:rPr>
          <w:rFonts w:eastAsia="Times New Roman" w:cs="Helvetica"/>
          <w:b/>
          <w:bCs/>
          <w:color w:val="222222"/>
          <w:sz w:val="20"/>
          <w:szCs w:val="20"/>
          <w:u w:val="single"/>
          <w:bdr w:val="none" w:sz="0" w:space="0" w:color="auto" w:frame="1"/>
        </w:rPr>
        <w:t xml:space="preserve">Process </w:t>
      </w:r>
      <w:r w:rsidR="00217A1B" w:rsidRPr="00284EB4">
        <w:rPr>
          <w:rFonts w:eastAsia="Times New Roman" w:cs="Helvetica"/>
          <w:b/>
          <w:bCs/>
          <w:color w:val="222222"/>
          <w:sz w:val="20"/>
          <w:szCs w:val="20"/>
          <w:u w:val="single"/>
          <w:bdr w:val="none" w:sz="0" w:space="0" w:color="auto" w:frame="1"/>
        </w:rPr>
        <w:t>needs to be fixed as well</w:t>
      </w:r>
      <w:r w:rsidR="0063663C" w:rsidRPr="00284EB4">
        <w:rPr>
          <w:rFonts w:eastAsia="Times New Roman" w:cs="Helvetica"/>
          <w:b/>
          <w:bCs/>
          <w:color w:val="222222"/>
          <w:sz w:val="20"/>
          <w:szCs w:val="20"/>
          <w:u w:val="single"/>
          <w:bdr w:val="none" w:sz="0" w:space="0" w:color="auto" w:frame="1"/>
        </w:rPr>
        <w:t>.</w:t>
      </w:r>
      <w:r w:rsidR="0063663C" w:rsidRPr="00284EB4">
        <w:rPr>
          <w:rFonts w:eastAsia="Times New Roman" w:cs="Helvetica"/>
          <w:b/>
          <w:bCs/>
          <w:color w:val="222222"/>
          <w:sz w:val="20"/>
          <w:szCs w:val="20"/>
          <w:bdr w:val="none" w:sz="0" w:space="0" w:color="auto" w:frame="1"/>
        </w:rPr>
        <w:t xml:space="preserve"> We have a 10 point recommendation that we have provided for your briefing book. </w:t>
      </w:r>
      <w:hyperlink r:id="rId7" w:history="1">
        <w:r w:rsidR="0063663C" w:rsidRPr="006C6A14">
          <w:rPr>
            <w:rStyle w:val="Hyperlink"/>
            <w:rFonts w:eastAsia="Times New Roman" w:cs="Helvetica"/>
            <w:b/>
            <w:bCs/>
            <w:sz w:val="20"/>
            <w:szCs w:val="20"/>
            <w:bdr w:val="none" w:sz="0" w:space="0" w:color="auto" w:frame="1"/>
          </w:rPr>
          <w:t>(link)</w:t>
        </w:r>
      </w:hyperlink>
      <w:r w:rsidR="005E7B23" w:rsidRPr="00284EB4">
        <w:rPr>
          <w:b/>
          <w:sz w:val="20"/>
          <w:szCs w:val="20"/>
        </w:rPr>
        <w:br/>
      </w:r>
    </w:p>
    <w:p w14:paraId="30EAEE6B" w14:textId="77777777" w:rsidR="005E7B23" w:rsidRPr="00A45749" w:rsidRDefault="00A873C2" w:rsidP="005E7B23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AA3D53">
        <w:rPr>
          <w:b/>
          <w:color w:val="31849B" w:themeColor="accent5" w:themeShade="BF"/>
          <w:sz w:val="21"/>
          <w:szCs w:val="21"/>
        </w:rPr>
        <w:t xml:space="preserve">Support a </w:t>
      </w:r>
      <w:r w:rsidR="00AA3D53" w:rsidRPr="00AA3D53">
        <w:rPr>
          <w:b/>
          <w:color w:val="31849B" w:themeColor="accent5" w:themeShade="BF"/>
          <w:sz w:val="21"/>
          <w:szCs w:val="21"/>
        </w:rPr>
        <w:t>“</w:t>
      </w:r>
      <w:r w:rsidR="005E7B23" w:rsidRPr="00AA3D53">
        <w:rPr>
          <w:b/>
          <w:color w:val="31849B" w:themeColor="accent5" w:themeShade="BF"/>
          <w:sz w:val="21"/>
          <w:szCs w:val="21"/>
        </w:rPr>
        <w:t>Meet or Exceeds Standards</w:t>
      </w:r>
      <w:r w:rsidR="00AA3D53" w:rsidRPr="00AA3D53">
        <w:rPr>
          <w:b/>
          <w:color w:val="31849B" w:themeColor="accent5" w:themeShade="BF"/>
          <w:sz w:val="21"/>
          <w:szCs w:val="21"/>
        </w:rPr>
        <w:t>”</w:t>
      </w:r>
      <w:r w:rsidR="005E7B23" w:rsidRPr="00AA3D53">
        <w:rPr>
          <w:b/>
          <w:color w:val="31849B" w:themeColor="accent5" w:themeShade="BF"/>
          <w:sz w:val="21"/>
          <w:szCs w:val="21"/>
        </w:rPr>
        <w:t xml:space="preserve"> bill </w:t>
      </w:r>
      <w:r w:rsidR="005E7B23" w:rsidRPr="00284EB4">
        <w:rPr>
          <w:b/>
          <w:sz w:val="20"/>
          <w:szCs w:val="20"/>
        </w:rPr>
        <w:t>that would allow School Districts to treat Next Generation Sunshine State Standards as a baseline and give school district</w:t>
      </w:r>
      <w:r w:rsidRPr="00284EB4">
        <w:rPr>
          <w:b/>
          <w:sz w:val="20"/>
          <w:szCs w:val="20"/>
        </w:rPr>
        <w:t>s</w:t>
      </w:r>
      <w:r w:rsidR="005E7B23" w:rsidRPr="00284EB4">
        <w:rPr>
          <w:b/>
          <w:sz w:val="20"/>
          <w:szCs w:val="20"/>
        </w:rPr>
        <w:t xml:space="preserve"> the responsibility and accountability to drive student outcomes to a higher lev</w:t>
      </w:r>
      <w:r w:rsidR="00284EB4" w:rsidRPr="00284EB4">
        <w:rPr>
          <w:b/>
          <w:sz w:val="20"/>
          <w:szCs w:val="20"/>
        </w:rPr>
        <w:t>el than today’s status quo. It w</w:t>
      </w:r>
      <w:r w:rsidR="005E7B23" w:rsidRPr="00284EB4">
        <w:rPr>
          <w:b/>
          <w:sz w:val="20"/>
          <w:szCs w:val="20"/>
        </w:rPr>
        <w:t>ould incentivize school districts to focus on knowledge based skills via classical curriculum and innovation</w:t>
      </w:r>
      <w:r w:rsidR="0058604F" w:rsidRPr="00284EB4">
        <w:rPr>
          <w:b/>
          <w:sz w:val="20"/>
          <w:szCs w:val="20"/>
        </w:rPr>
        <w:t xml:space="preserve"> </w:t>
      </w:r>
      <w:r w:rsidR="00284EB4" w:rsidRPr="00284EB4">
        <w:rPr>
          <w:b/>
          <w:sz w:val="20"/>
          <w:szCs w:val="20"/>
        </w:rPr>
        <w:t>t</w:t>
      </w:r>
      <w:r w:rsidR="005E7B23" w:rsidRPr="00284EB4">
        <w:rPr>
          <w:b/>
          <w:sz w:val="20"/>
          <w:szCs w:val="20"/>
        </w:rPr>
        <w:t xml:space="preserve">reating the education needs of each child rather than a standardized </w:t>
      </w:r>
      <w:r w:rsidR="0058604F" w:rsidRPr="00284EB4">
        <w:rPr>
          <w:b/>
          <w:sz w:val="20"/>
          <w:szCs w:val="20"/>
        </w:rPr>
        <w:t xml:space="preserve">one size fits all </w:t>
      </w:r>
      <w:r w:rsidR="005E7B23" w:rsidRPr="00284EB4">
        <w:rPr>
          <w:b/>
          <w:sz w:val="20"/>
          <w:szCs w:val="20"/>
        </w:rPr>
        <w:t xml:space="preserve">approach. </w:t>
      </w:r>
      <w:r w:rsidR="0058604F" w:rsidRPr="00284EB4">
        <w:rPr>
          <w:b/>
          <w:sz w:val="20"/>
          <w:szCs w:val="20"/>
        </w:rPr>
        <w:t>E</w:t>
      </w:r>
      <w:r w:rsidR="005E7B23" w:rsidRPr="00284EB4">
        <w:rPr>
          <w:b/>
          <w:sz w:val="20"/>
          <w:szCs w:val="20"/>
        </w:rPr>
        <w:t xml:space="preserve">xpanded use </w:t>
      </w:r>
      <w:r w:rsidR="0058604F" w:rsidRPr="00284EB4">
        <w:rPr>
          <w:b/>
          <w:sz w:val="20"/>
          <w:szCs w:val="20"/>
        </w:rPr>
        <w:t xml:space="preserve">of “exceeds” </w:t>
      </w:r>
      <w:r w:rsidR="005E7B23" w:rsidRPr="00284EB4">
        <w:rPr>
          <w:b/>
          <w:sz w:val="20"/>
          <w:szCs w:val="20"/>
        </w:rPr>
        <w:t xml:space="preserve">standards and curriculum </w:t>
      </w:r>
      <w:r w:rsidR="0058604F" w:rsidRPr="00284EB4">
        <w:rPr>
          <w:b/>
          <w:sz w:val="20"/>
          <w:szCs w:val="20"/>
        </w:rPr>
        <w:t xml:space="preserve">will help </w:t>
      </w:r>
      <w:r w:rsidR="005E7B23" w:rsidRPr="00284EB4">
        <w:rPr>
          <w:b/>
          <w:sz w:val="20"/>
          <w:szCs w:val="20"/>
        </w:rPr>
        <w:t xml:space="preserve">leverage </w:t>
      </w:r>
      <w:r w:rsidR="00AA3D53" w:rsidRPr="00284EB4">
        <w:rPr>
          <w:b/>
          <w:sz w:val="20"/>
          <w:szCs w:val="20"/>
        </w:rPr>
        <w:t xml:space="preserve">the benefits </w:t>
      </w:r>
      <w:r w:rsidR="00284EB4" w:rsidRPr="00284EB4">
        <w:rPr>
          <w:b/>
          <w:sz w:val="20"/>
          <w:szCs w:val="20"/>
        </w:rPr>
        <w:t xml:space="preserve">for </w:t>
      </w:r>
      <w:r w:rsidR="00AA3D53" w:rsidRPr="00284EB4">
        <w:rPr>
          <w:b/>
          <w:sz w:val="20"/>
          <w:szCs w:val="20"/>
        </w:rPr>
        <w:t>o</w:t>
      </w:r>
      <w:r w:rsidR="00BD0624" w:rsidRPr="00284EB4">
        <w:rPr>
          <w:b/>
          <w:sz w:val="20"/>
          <w:szCs w:val="20"/>
        </w:rPr>
        <w:t xml:space="preserve">f </w:t>
      </w:r>
      <w:r w:rsidR="00AA3D53" w:rsidRPr="00284EB4">
        <w:rPr>
          <w:b/>
          <w:sz w:val="20"/>
          <w:szCs w:val="20"/>
        </w:rPr>
        <w:t>all students</w:t>
      </w:r>
      <w:r w:rsidR="00284EB4" w:rsidRPr="00284EB4">
        <w:rPr>
          <w:b/>
          <w:sz w:val="20"/>
          <w:szCs w:val="20"/>
        </w:rPr>
        <w:t>.</w:t>
      </w:r>
      <w:r w:rsidR="00AA3D53" w:rsidRPr="00284EB4">
        <w:rPr>
          <w:b/>
          <w:sz w:val="20"/>
          <w:szCs w:val="20"/>
        </w:rPr>
        <w:t xml:space="preserve"> </w:t>
      </w:r>
      <w:r w:rsidR="005E7B23" w:rsidRPr="00284EB4">
        <w:rPr>
          <w:b/>
          <w:sz w:val="20"/>
          <w:szCs w:val="20"/>
        </w:rPr>
        <w:br/>
      </w:r>
    </w:p>
    <w:p w14:paraId="3FC95AE2" w14:textId="77777777" w:rsidR="00284EB4" w:rsidRPr="00284EB4" w:rsidRDefault="005E7B23" w:rsidP="0058604F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AA3D53">
        <w:rPr>
          <w:b/>
          <w:color w:val="31849B" w:themeColor="accent5" w:themeShade="BF"/>
          <w:sz w:val="21"/>
          <w:szCs w:val="21"/>
        </w:rPr>
        <w:t>Best Practices Financial and Management Systems Accountability</w:t>
      </w:r>
      <w:r w:rsidR="00BB3140" w:rsidRPr="00A45749">
        <w:rPr>
          <w:b/>
          <w:sz w:val="21"/>
          <w:szCs w:val="21"/>
        </w:rPr>
        <w:br/>
      </w:r>
      <w:r w:rsidR="00BB3140" w:rsidRPr="00284EB4">
        <w:rPr>
          <w:b/>
          <w:sz w:val="20"/>
          <w:szCs w:val="20"/>
        </w:rPr>
        <w:t xml:space="preserve">Reinstate </w:t>
      </w:r>
      <w:r w:rsidR="0063663C" w:rsidRPr="00284EB4">
        <w:rPr>
          <w:b/>
          <w:sz w:val="20"/>
          <w:szCs w:val="20"/>
        </w:rPr>
        <w:t xml:space="preserve">the </w:t>
      </w:r>
      <w:r w:rsidR="00BB3140" w:rsidRPr="00284EB4">
        <w:rPr>
          <w:b/>
          <w:sz w:val="20"/>
          <w:szCs w:val="20"/>
        </w:rPr>
        <w:t xml:space="preserve">culture of school districts using “best management systems and financial practices” </w:t>
      </w:r>
      <w:r w:rsidR="00281513" w:rsidRPr="00284EB4">
        <w:rPr>
          <w:b/>
          <w:sz w:val="20"/>
          <w:szCs w:val="20"/>
        </w:rPr>
        <w:t xml:space="preserve">with </w:t>
      </w:r>
      <w:r w:rsidR="00BB3140" w:rsidRPr="00284EB4">
        <w:rPr>
          <w:b/>
          <w:sz w:val="20"/>
          <w:szCs w:val="20"/>
        </w:rPr>
        <w:t>Office of Program Policy and Analysis and Government [OPPAGA]</w:t>
      </w:r>
      <w:r w:rsidR="00A45749" w:rsidRPr="00284EB4">
        <w:rPr>
          <w:b/>
          <w:sz w:val="20"/>
          <w:szCs w:val="20"/>
        </w:rPr>
        <w:t xml:space="preserve"> in</w:t>
      </w:r>
      <w:r w:rsidR="00BB3140" w:rsidRPr="00284EB4">
        <w:rPr>
          <w:b/>
          <w:sz w:val="20"/>
          <w:szCs w:val="20"/>
        </w:rPr>
        <w:t xml:space="preserve"> phased 2 year approach. </w:t>
      </w:r>
      <w:r w:rsidR="0063663C" w:rsidRPr="00284EB4">
        <w:rPr>
          <w:b/>
          <w:sz w:val="20"/>
          <w:szCs w:val="20"/>
        </w:rPr>
        <w:t xml:space="preserve"> </w:t>
      </w:r>
      <w:r w:rsidR="0058604F" w:rsidRPr="00284EB4">
        <w:rPr>
          <w:b/>
          <w:sz w:val="20"/>
          <w:szCs w:val="20"/>
        </w:rPr>
        <w:br/>
      </w:r>
      <w:r w:rsidR="00AA3D53" w:rsidRPr="00284EB4">
        <w:rPr>
          <w:b/>
          <w:sz w:val="20"/>
          <w:szCs w:val="20"/>
        </w:rPr>
        <w:t>-</w:t>
      </w:r>
      <w:r w:rsidR="0058604F" w:rsidRPr="00284EB4">
        <w:rPr>
          <w:b/>
          <w:sz w:val="20"/>
          <w:szCs w:val="20"/>
        </w:rPr>
        <w:t>Year 1: I</w:t>
      </w:r>
      <w:r w:rsidR="0063663C" w:rsidRPr="00284EB4">
        <w:rPr>
          <w:b/>
          <w:sz w:val="20"/>
          <w:szCs w:val="20"/>
        </w:rPr>
        <w:t xml:space="preserve">ncentivizing School District to use OPPAGA existing tools of “Management Structures”, “Performance Accountability Systems”, and “Cost Control Systems”. </w:t>
      </w:r>
      <w:r w:rsidR="0063663C" w:rsidRPr="00284EB4">
        <w:rPr>
          <w:b/>
          <w:i/>
          <w:sz w:val="20"/>
          <w:szCs w:val="20"/>
        </w:rPr>
        <w:t>The incentive could be in form of more FTE dollars or allowing school districts to make some tradeoff by shifting a small percentage of capital dollars to operating budget as examples.</w:t>
      </w:r>
      <w:r w:rsidR="0058604F" w:rsidRPr="00284EB4">
        <w:rPr>
          <w:b/>
          <w:i/>
          <w:sz w:val="20"/>
          <w:szCs w:val="20"/>
        </w:rPr>
        <w:br/>
      </w:r>
      <w:r w:rsidR="00AA3D53" w:rsidRPr="00284EB4">
        <w:rPr>
          <w:b/>
          <w:sz w:val="20"/>
          <w:szCs w:val="20"/>
        </w:rPr>
        <w:t>-</w:t>
      </w:r>
      <w:r w:rsidR="0058604F" w:rsidRPr="00284EB4">
        <w:rPr>
          <w:b/>
          <w:sz w:val="20"/>
          <w:szCs w:val="20"/>
        </w:rPr>
        <w:t xml:space="preserve">Year 2: </w:t>
      </w:r>
      <w:r w:rsidR="00893D64">
        <w:rPr>
          <w:b/>
          <w:sz w:val="20"/>
          <w:szCs w:val="20"/>
        </w:rPr>
        <w:t xml:space="preserve">Incentivize </w:t>
      </w:r>
      <w:r w:rsidR="0058604F" w:rsidRPr="00720A97">
        <w:rPr>
          <w:b/>
          <w:sz w:val="20"/>
          <w:szCs w:val="20"/>
        </w:rPr>
        <w:t>school</w:t>
      </w:r>
      <w:r w:rsidR="0058604F" w:rsidRPr="00284EB4">
        <w:rPr>
          <w:b/>
          <w:sz w:val="20"/>
          <w:szCs w:val="20"/>
        </w:rPr>
        <w:t xml:space="preserve"> districts to do “zero based budgeting”, “benchmarking to school districts in state and out of state that have similar demographics but better student outcomes as measured on nationally-normed tests results”, “direct teacher and student expense vs indirect overhead expense analysis”, and “a Return on Investment Analysis- student outcomes to total operating and capital expenditures. </w:t>
      </w:r>
      <w:r w:rsidR="0058604F" w:rsidRPr="00284EB4">
        <w:rPr>
          <w:b/>
          <w:i/>
          <w:sz w:val="20"/>
          <w:szCs w:val="20"/>
        </w:rPr>
        <w:t>The incentive would be reduced funding- a significant dollar penalty for non-compliance.</w:t>
      </w:r>
      <w:r w:rsidR="00284EB4">
        <w:rPr>
          <w:b/>
          <w:i/>
          <w:sz w:val="20"/>
          <w:szCs w:val="20"/>
        </w:rPr>
        <w:br/>
      </w:r>
    </w:p>
    <w:p w14:paraId="2AB06C0A" w14:textId="77777777" w:rsidR="00BB3140" w:rsidRPr="00284EB4" w:rsidRDefault="00284EB4" w:rsidP="005860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84EB4">
        <w:rPr>
          <w:b/>
          <w:sz w:val="20"/>
          <w:szCs w:val="20"/>
        </w:rPr>
        <w:t xml:space="preserve">FLCA also strongly supports the continued expansion of McKay and Gardener Scholarships, eventually </w:t>
      </w:r>
      <w:r>
        <w:rPr>
          <w:b/>
          <w:sz w:val="20"/>
          <w:szCs w:val="20"/>
        </w:rPr>
        <w:t xml:space="preserve">making the concept available to </w:t>
      </w:r>
      <w:r w:rsidRPr="00284EB4">
        <w:rPr>
          <w:b/>
          <w:sz w:val="20"/>
          <w:szCs w:val="20"/>
        </w:rPr>
        <w:t>every student.</w:t>
      </w:r>
      <w:r w:rsidR="00BB3140" w:rsidRPr="00284EB4">
        <w:rPr>
          <w:sz w:val="20"/>
          <w:szCs w:val="20"/>
        </w:rPr>
        <w:br/>
      </w:r>
    </w:p>
    <w:sectPr w:rsidR="00BB3140" w:rsidRPr="00284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A4E9C"/>
    <w:multiLevelType w:val="hybridMultilevel"/>
    <w:tmpl w:val="F5D8E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30248"/>
    <w:multiLevelType w:val="hybridMultilevel"/>
    <w:tmpl w:val="F7307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536AD"/>
    <w:multiLevelType w:val="hybridMultilevel"/>
    <w:tmpl w:val="1CFEB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96"/>
    <w:rsid w:val="00051732"/>
    <w:rsid w:val="00166C58"/>
    <w:rsid w:val="00217A1B"/>
    <w:rsid w:val="00281513"/>
    <w:rsid w:val="00284EB4"/>
    <w:rsid w:val="00326ACB"/>
    <w:rsid w:val="00412397"/>
    <w:rsid w:val="0058604F"/>
    <w:rsid w:val="0059185A"/>
    <w:rsid w:val="005E7B23"/>
    <w:rsid w:val="0063663C"/>
    <w:rsid w:val="006C6A14"/>
    <w:rsid w:val="00720A97"/>
    <w:rsid w:val="007A6A96"/>
    <w:rsid w:val="00893B3D"/>
    <w:rsid w:val="00893D64"/>
    <w:rsid w:val="00A45749"/>
    <w:rsid w:val="00A873C2"/>
    <w:rsid w:val="00AA3D53"/>
    <w:rsid w:val="00BB3140"/>
    <w:rsid w:val="00B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5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A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A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loridacitizensalliance.com/liberty/wp-content/uploads/Minimum-requirements-for-FL-DOE-Instructional-Materials-2018-bill-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koflaugh</dc:creator>
  <cp:lastModifiedBy>Codie, Charlotte</cp:lastModifiedBy>
  <cp:revision>2</cp:revision>
  <cp:lastPrinted>2017-08-11T15:24:00Z</cp:lastPrinted>
  <dcterms:created xsi:type="dcterms:W3CDTF">2017-10-06T17:42:00Z</dcterms:created>
  <dcterms:modified xsi:type="dcterms:W3CDTF">2017-10-06T17:42:00Z</dcterms:modified>
</cp:coreProperties>
</file>