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EF" w:rsidRPr="00F35F75" w:rsidRDefault="00966287" w:rsidP="00966287">
      <w:pPr>
        <w:pStyle w:val="Subtitle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Investing in </w:t>
      </w:r>
      <w:r w:rsidR="007A3703">
        <w:rPr>
          <w:b/>
          <w:color w:val="000000" w:themeColor="text1"/>
        </w:rPr>
        <w:t>F</w:t>
      </w:r>
      <w:r w:rsidR="00477B10" w:rsidRPr="00F35F75">
        <w:rPr>
          <w:b/>
          <w:color w:val="000000" w:themeColor="text1"/>
        </w:rPr>
        <w:t>lorida’s Voluntary Prekindergarten (VPK) Education Program</w:t>
      </w:r>
      <w:r w:rsidR="001946EF" w:rsidRPr="00F35F75">
        <w:rPr>
          <w:color w:val="000000" w:themeColor="text1"/>
        </w:rPr>
        <w:t xml:space="preserve"> is </w:t>
      </w:r>
      <w:r w:rsidR="009B55AC" w:rsidRPr="00F35F75">
        <w:rPr>
          <w:color w:val="000000" w:themeColor="text1"/>
        </w:rPr>
        <w:t>critical</w:t>
      </w:r>
      <w:r w:rsidR="001946EF" w:rsidRPr="00F35F75">
        <w:rPr>
          <w:color w:val="000000" w:themeColor="text1"/>
        </w:rPr>
        <w:t xml:space="preserve"> to improve the long-term educational and</w:t>
      </w:r>
      <w:r w:rsidR="009B55AC" w:rsidRPr="00F35F75">
        <w:rPr>
          <w:color w:val="000000" w:themeColor="text1"/>
        </w:rPr>
        <w:t xml:space="preserve"> economic viability of Florida. B</w:t>
      </w:r>
      <w:r w:rsidR="001946EF" w:rsidRPr="00F35F75">
        <w:rPr>
          <w:color w:val="000000" w:themeColor="text1"/>
        </w:rPr>
        <w:t xml:space="preserve">ut there are </w:t>
      </w:r>
      <w:r w:rsidR="009B55AC" w:rsidRPr="00F35F75">
        <w:rPr>
          <w:b/>
          <w:color w:val="000000" w:themeColor="text1"/>
        </w:rPr>
        <w:t>3</w:t>
      </w:r>
      <w:r w:rsidR="001946EF" w:rsidRPr="00F35F75">
        <w:rPr>
          <w:b/>
          <w:color w:val="000000" w:themeColor="text1"/>
        </w:rPr>
        <w:t xml:space="preserve"> significant challenges</w:t>
      </w:r>
      <w:r w:rsidR="001946EF" w:rsidRPr="00F35F75">
        <w:rPr>
          <w:color w:val="000000" w:themeColor="text1"/>
        </w:rPr>
        <w:t xml:space="preserve"> </w:t>
      </w:r>
      <w:r w:rsidR="00B34920" w:rsidRPr="00F35F75">
        <w:rPr>
          <w:color w:val="000000" w:themeColor="text1"/>
        </w:rPr>
        <w:t>preventing early childhood educators from getting children</w:t>
      </w:r>
      <w:r w:rsidR="009B55AC" w:rsidRPr="00F35F75">
        <w:rPr>
          <w:color w:val="000000" w:themeColor="text1"/>
        </w:rPr>
        <w:t xml:space="preserve"> ready to learn</w:t>
      </w:r>
      <w:r w:rsidR="008458B0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9B55AC" w:rsidRPr="00F35F75">
        <w:rPr>
          <w:color w:val="000000" w:themeColor="text1"/>
        </w:rPr>
        <w:t xml:space="preserve"> Kindergarten</w:t>
      </w:r>
      <w:r w:rsidR="001946EF" w:rsidRPr="00F35F75">
        <w:rPr>
          <w:color w:val="000000" w:themeColor="text1"/>
        </w:rPr>
        <w:t>.</w:t>
      </w:r>
    </w:p>
    <w:p w:rsidR="001946EF" w:rsidRPr="00F35F75" w:rsidRDefault="001946EF" w:rsidP="00966287">
      <w:pPr>
        <w:pStyle w:val="Heading2"/>
        <w:jc w:val="both"/>
        <w:rPr>
          <w:b/>
        </w:rPr>
      </w:pPr>
      <w:r w:rsidRPr="00F35F75">
        <w:rPr>
          <w:b/>
        </w:rPr>
        <w:t xml:space="preserve">1) </w:t>
      </w:r>
      <w:r w:rsidRPr="00F35F75">
        <w:rPr>
          <w:b/>
          <w:i/>
        </w:rPr>
        <w:t>Funding</w:t>
      </w:r>
      <w:r w:rsidRPr="00F35F75">
        <w:rPr>
          <w:b/>
        </w:rPr>
        <w:t xml:space="preserve"> in </w:t>
      </w:r>
      <w:r w:rsidRPr="00F35F75">
        <w:rPr>
          <w:b/>
          <w:i/>
        </w:rPr>
        <w:t>Deep Decline</w:t>
      </w:r>
      <w:r w:rsidRPr="00F35F75">
        <w:rPr>
          <w:b/>
        </w:rPr>
        <w:t xml:space="preserve"> Since 2007</w:t>
      </w:r>
    </w:p>
    <w:p w:rsidR="001946EF" w:rsidRPr="00966287" w:rsidRDefault="001946EF" w:rsidP="00966287">
      <w:pPr>
        <w:jc w:val="both"/>
        <w:rPr>
          <w:sz w:val="19"/>
          <w:szCs w:val="19"/>
        </w:rPr>
      </w:pPr>
      <w:r w:rsidRPr="00966287">
        <w:rPr>
          <w:sz w:val="19"/>
          <w:szCs w:val="19"/>
        </w:rPr>
        <w:t xml:space="preserve">Since 2007 early childhood education funding has not kept pace with the consumer price index; in fact, it has </w:t>
      </w:r>
      <w:r w:rsidRPr="00966287">
        <w:rPr>
          <w:b/>
          <w:i/>
          <w:sz w:val="19"/>
          <w:szCs w:val="19"/>
        </w:rPr>
        <w:t>declined</w:t>
      </w:r>
      <w:r w:rsidR="007A3703" w:rsidRPr="00966287">
        <w:rPr>
          <w:sz w:val="19"/>
          <w:szCs w:val="19"/>
        </w:rPr>
        <w:t xml:space="preserve"> beyond our provider</w:t>
      </w:r>
      <w:r w:rsidRPr="00966287">
        <w:rPr>
          <w:sz w:val="19"/>
          <w:szCs w:val="19"/>
        </w:rPr>
        <w:t>s</w:t>
      </w:r>
      <w:r w:rsidR="007A3703" w:rsidRPr="00966287">
        <w:rPr>
          <w:sz w:val="19"/>
          <w:szCs w:val="19"/>
        </w:rPr>
        <w:t>’</w:t>
      </w:r>
      <w:r w:rsidRPr="00966287">
        <w:rPr>
          <w:sz w:val="19"/>
          <w:szCs w:val="19"/>
        </w:rPr>
        <w:t xml:space="preserve"> ability to </w:t>
      </w:r>
      <w:r w:rsidR="007A3703" w:rsidRPr="00966287">
        <w:rPr>
          <w:sz w:val="19"/>
          <w:szCs w:val="19"/>
        </w:rPr>
        <w:t>offer</w:t>
      </w:r>
      <w:r w:rsidRPr="00966287">
        <w:rPr>
          <w:sz w:val="19"/>
          <w:szCs w:val="19"/>
        </w:rPr>
        <w:t xml:space="preserve"> </w:t>
      </w:r>
      <w:r w:rsidR="007A3703" w:rsidRPr="00966287">
        <w:rPr>
          <w:sz w:val="19"/>
          <w:szCs w:val="19"/>
        </w:rPr>
        <w:t xml:space="preserve">a </w:t>
      </w:r>
      <w:r w:rsidRPr="00966287">
        <w:rPr>
          <w:sz w:val="19"/>
          <w:szCs w:val="19"/>
        </w:rPr>
        <w:t>quality education and</w:t>
      </w:r>
      <w:bookmarkStart w:id="0" w:name="_GoBack"/>
      <w:bookmarkEnd w:id="0"/>
      <w:r w:rsidRPr="00966287">
        <w:rPr>
          <w:sz w:val="19"/>
          <w:szCs w:val="19"/>
        </w:rPr>
        <w:t xml:space="preserve"> pay a living wage</w:t>
      </w:r>
      <w:r w:rsidR="00966287" w:rsidRPr="00966287">
        <w:rPr>
          <w:sz w:val="19"/>
          <w:szCs w:val="19"/>
        </w:rPr>
        <w:t xml:space="preserve"> to our teachers</w:t>
      </w:r>
      <w:r w:rsidRPr="00966287">
        <w:rPr>
          <w:sz w:val="19"/>
          <w:szCs w:val="19"/>
        </w:rPr>
        <w:t xml:space="preserve">. </w:t>
      </w:r>
    </w:p>
    <w:p w:rsidR="00192917" w:rsidRDefault="000E0DAD" w:rsidP="00966287">
      <w:pPr>
        <w:jc w:val="center"/>
      </w:pPr>
      <w:r>
        <w:rPr>
          <w:noProof/>
        </w:rPr>
        <w:drawing>
          <wp:inline distT="0" distB="0" distL="0" distR="0" wp14:anchorId="528DC65B" wp14:editId="23FF7B9C">
            <wp:extent cx="6769735" cy="4110182"/>
            <wp:effectExtent l="0" t="0" r="12065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46EF" w:rsidRPr="00F35F75" w:rsidRDefault="001946EF" w:rsidP="00966287">
      <w:pPr>
        <w:pStyle w:val="Heading2"/>
        <w:jc w:val="both"/>
        <w:rPr>
          <w:b/>
        </w:rPr>
      </w:pPr>
      <w:r w:rsidRPr="00F35F75">
        <w:rPr>
          <w:b/>
        </w:rPr>
        <w:t xml:space="preserve">2) </w:t>
      </w:r>
      <w:r w:rsidR="00291AB0" w:rsidRPr="00F35F75">
        <w:rPr>
          <w:b/>
        </w:rPr>
        <w:t xml:space="preserve">Student </w:t>
      </w:r>
      <w:r w:rsidR="008458B0">
        <w:rPr>
          <w:b/>
        </w:rPr>
        <w:t xml:space="preserve">Hours </w:t>
      </w:r>
      <w:r w:rsidR="00291AB0" w:rsidRPr="00F35F75">
        <w:rPr>
          <w:b/>
        </w:rPr>
        <w:t xml:space="preserve">are </w:t>
      </w:r>
      <w:proofErr w:type="gramStart"/>
      <w:r w:rsidR="009134A0" w:rsidRPr="00F35F75">
        <w:rPr>
          <w:b/>
          <w:i/>
        </w:rPr>
        <w:t>Capped</w:t>
      </w:r>
      <w:proofErr w:type="gramEnd"/>
    </w:p>
    <w:p w:rsidR="001946EF" w:rsidRPr="00966287" w:rsidRDefault="008458B0" w:rsidP="00966287">
      <w:pPr>
        <w:jc w:val="both"/>
        <w:rPr>
          <w:sz w:val="19"/>
          <w:szCs w:val="19"/>
        </w:rPr>
      </w:pPr>
      <w:r w:rsidRPr="00966287">
        <w:rPr>
          <w:sz w:val="19"/>
          <w:szCs w:val="19"/>
        </w:rPr>
        <w:t xml:space="preserve">Children may attend VPK programs for only 540 hours during the school year or 300 hours during the summer.  </w:t>
      </w:r>
      <w:r w:rsidR="007A3703" w:rsidRPr="00966287">
        <w:rPr>
          <w:sz w:val="19"/>
          <w:szCs w:val="19"/>
        </w:rPr>
        <w:t>On average, children attend three hours of VPK education a day.</w:t>
      </w:r>
      <w:r w:rsidRPr="00966287">
        <w:rPr>
          <w:sz w:val="19"/>
          <w:szCs w:val="19"/>
        </w:rPr>
        <w:t xml:space="preserve"> </w:t>
      </w:r>
      <w:r w:rsidRPr="00966287">
        <w:rPr>
          <w:b/>
          <w:sz w:val="19"/>
          <w:szCs w:val="19"/>
        </w:rPr>
        <w:t xml:space="preserve"> Finding qualified teachers on a </w:t>
      </w:r>
      <w:r w:rsidR="00966287" w:rsidRPr="00966287">
        <w:rPr>
          <w:b/>
          <w:sz w:val="19"/>
          <w:szCs w:val="19"/>
        </w:rPr>
        <w:t>part-time</w:t>
      </w:r>
      <w:r w:rsidRPr="00966287">
        <w:rPr>
          <w:b/>
          <w:sz w:val="19"/>
          <w:szCs w:val="19"/>
        </w:rPr>
        <w:t xml:space="preserve"> basis is ne</w:t>
      </w:r>
      <w:r w:rsidR="007A3703" w:rsidRPr="00966287">
        <w:rPr>
          <w:b/>
          <w:sz w:val="19"/>
          <w:szCs w:val="19"/>
        </w:rPr>
        <w:t xml:space="preserve">arly </w:t>
      </w:r>
      <w:r w:rsidRPr="00966287">
        <w:rPr>
          <w:b/>
          <w:sz w:val="19"/>
          <w:szCs w:val="19"/>
        </w:rPr>
        <w:t>impossible.</w:t>
      </w:r>
      <w:r w:rsidRPr="00966287">
        <w:rPr>
          <w:sz w:val="19"/>
          <w:szCs w:val="19"/>
        </w:rPr>
        <w:t xml:space="preserve">  The signature of a strong, high quality early </w:t>
      </w:r>
      <w:r w:rsidR="001946EF" w:rsidRPr="00966287">
        <w:rPr>
          <w:sz w:val="19"/>
          <w:szCs w:val="19"/>
        </w:rPr>
        <w:t>learning environment</w:t>
      </w:r>
      <w:r w:rsidRPr="00966287">
        <w:rPr>
          <w:sz w:val="19"/>
          <w:szCs w:val="19"/>
        </w:rPr>
        <w:t xml:space="preserve"> </w:t>
      </w:r>
      <w:r w:rsidR="00966287" w:rsidRPr="00966287">
        <w:rPr>
          <w:sz w:val="19"/>
          <w:szCs w:val="19"/>
        </w:rPr>
        <w:t xml:space="preserve">corresponds directly with the </w:t>
      </w:r>
      <w:r w:rsidRPr="00966287">
        <w:rPr>
          <w:sz w:val="19"/>
          <w:szCs w:val="19"/>
        </w:rPr>
        <w:t xml:space="preserve">qualifications of its teachers. </w:t>
      </w:r>
      <w:r w:rsidR="00966287" w:rsidRPr="00966287">
        <w:rPr>
          <w:sz w:val="19"/>
          <w:szCs w:val="19"/>
        </w:rPr>
        <w:t>These caps on</w:t>
      </w:r>
      <w:r w:rsidRPr="00966287">
        <w:rPr>
          <w:sz w:val="19"/>
          <w:szCs w:val="19"/>
        </w:rPr>
        <w:t xml:space="preserve"> VPK hours make it difficult for </w:t>
      </w:r>
      <w:r w:rsidR="00477B10" w:rsidRPr="00966287">
        <w:rPr>
          <w:sz w:val="19"/>
          <w:szCs w:val="19"/>
        </w:rPr>
        <w:t xml:space="preserve">Florida’s </w:t>
      </w:r>
      <w:r w:rsidR="00966287" w:rsidRPr="00966287">
        <w:rPr>
          <w:sz w:val="19"/>
          <w:szCs w:val="19"/>
        </w:rPr>
        <w:t>early childhood education providers</w:t>
      </w:r>
      <w:r w:rsidRPr="00966287">
        <w:rPr>
          <w:sz w:val="19"/>
          <w:szCs w:val="19"/>
        </w:rPr>
        <w:t xml:space="preserve"> </w:t>
      </w:r>
      <w:r w:rsidR="001946EF" w:rsidRPr="00966287">
        <w:rPr>
          <w:sz w:val="19"/>
          <w:szCs w:val="19"/>
        </w:rPr>
        <w:t xml:space="preserve">to </w:t>
      </w:r>
      <w:r w:rsidRPr="00966287">
        <w:rPr>
          <w:sz w:val="19"/>
          <w:szCs w:val="19"/>
        </w:rPr>
        <w:t>run effective programs</w:t>
      </w:r>
      <w:r w:rsidR="00966287" w:rsidRPr="00966287">
        <w:rPr>
          <w:sz w:val="19"/>
          <w:szCs w:val="19"/>
        </w:rPr>
        <w:t>.</w:t>
      </w:r>
    </w:p>
    <w:p w:rsidR="001946EF" w:rsidRPr="00F35F75" w:rsidRDefault="001946EF" w:rsidP="00966287">
      <w:pPr>
        <w:pStyle w:val="Heading2"/>
        <w:jc w:val="both"/>
        <w:rPr>
          <w:b/>
        </w:rPr>
      </w:pPr>
      <w:r w:rsidRPr="00F35F75">
        <w:rPr>
          <w:b/>
        </w:rPr>
        <w:t xml:space="preserve">3) </w:t>
      </w:r>
      <w:r w:rsidR="00291AB0" w:rsidRPr="00F35F75">
        <w:rPr>
          <w:b/>
        </w:rPr>
        <w:t xml:space="preserve">Florida is #2 in Access to VPK, </w:t>
      </w:r>
      <w:r w:rsidR="00F35F75">
        <w:rPr>
          <w:b/>
          <w:i/>
        </w:rPr>
        <w:t xml:space="preserve">but </w:t>
      </w:r>
      <w:r w:rsidR="00291AB0" w:rsidRPr="00F35F75">
        <w:rPr>
          <w:b/>
          <w:i/>
        </w:rPr>
        <w:t>35</w:t>
      </w:r>
      <w:r w:rsidR="00F35F75">
        <w:rPr>
          <w:b/>
          <w:i/>
        </w:rPr>
        <w:t>th</w:t>
      </w:r>
      <w:r w:rsidR="00291AB0" w:rsidRPr="00F35F75">
        <w:rPr>
          <w:b/>
          <w:i/>
        </w:rPr>
        <w:t xml:space="preserve"> in Funding</w:t>
      </w:r>
    </w:p>
    <w:p w:rsidR="001946EF" w:rsidRPr="00966287" w:rsidRDefault="00291AB0" w:rsidP="00966287">
      <w:pPr>
        <w:jc w:val="both"/>
        <w:rPr>
          <w:rFonts w:ascii="Calibri" w:hAnsi="Calibri"/>
          <w:color w:val="000000" w:themeColor="text1"/>
          <w:sz w:val="19"/>
          <w:szCs w:val="19"/>
          <w:shd w:val="clear" w:color="auto" w:fill="FFFFFF"/>
        </w:rPr>
      </w:pPr>
      <w:r w:rsidRPr="00966287">
        <w:rPr>
          <w:rFonts w:ascii="Calibri" w:hAnsi="Calibri"/>
          <w:color w:val="000000" w:themeColor="text1"/>
          <w:sz w:val="19"/>
          <w:szCs w:val="19"/>
          <w:shd w:val="clear" w:color="auto" w:fill="FFFFFF"/>
        </w:rPr>
        <w:t xml:space="preserve">Florida leads the nation as </w:t>
      </w:r>
      <w:r w:rsidRPr="00966287">
        <w:rPr>
          <w:rFonts w:ascii="Calibri" w:hAnsi="Calibri"/>
          <w:b/>
          <w:color w:val="000000" w:themeColor="text1"/>
          <w:sz w:val="19"/>
          <w:szCs w:val="19"/>
          <w:shd w:val="clear" w:color="auto" w:fill="FFFFFF"/>
        </w:rPr>
        <w:t xml:space="preserve">#2 in </w:t>
      </w:r>
      <w:r w:rsidR="007A3703" w:rsidRPr="00966287">
        <w:rPr>
          <w:rFonts w:ascii="Calibri" w:hAnsi="Calibri"/>
          <w:b/>
          <w:color w:val="000000" w:themeColor="text1"/>
          <w:sz w:val="19"/>
          <w:szCs w:val="19"/>
          <w:shd w:val="clear" w:color="auto" w:fill="FFFFFF"/>
        </w:rPr>
        <w:t xml:space="preserve">providing </w:t>
      </w:r>
      <w:r w:rsidRPr="00966287">
        <w:rPr>
          <w:rFonts w:ascii="Calibri" w:hAnsi="Calibri"/>
          <w:b/>
          <w:color w:val="000000" w:themeColor="text1"/>
          <w:sz w:val="19"/>
          <w:szCs w:val="19"/>
          <w:shd w:val="clear" w:color="auto" w:fill="FFFFFF"/>
        </w:rPr>
        <w:t>access to VPK for 4-year-olds</w:t>
      </w:r>
      <w:r w:rsidRPr="00966287">
        <w:rPr>
          <w:rFonts w:ascii="Calibri" w:hAnsi="Calibri"/>
          <w:color w:val="000000" w:themeColor="text1"/>
          <w:sz w:val="19"/>
          <w:szCs w:val="19"/>
          <w:shd w:val="clear" w:color="auto" w:fill="FFFFFF"/>
        </w:rPr>
        <w:t xml:space="preserve"> (174,145 </w:t>
      </w:r>
      <w:r w:rsidR="007A3703" w:rsidRPr="00966287">
        <w:rPr>
          <w:rFonts w:ascii="Calibri" w:hAnsi="Calibri"/>
          <w:color w:val="000000" w:themeColor="text1"/>
          <w:sz w:val="19"/>
          <w:szCs w:val="19"/>
          <w:shd w:val="clear" w:color="auto" w:fill="FFFFFF"/>
        </w:rPr>
        <w:t xml:space="preserve">students were </w:t>
      </w:r>
      <w:r w:rsidRPr="00966287">
        <w:rPr>
          <w:rFonts w:ascii="Calibri" w:hAnsi="Calibri"/>
          <w:color w:val="000000" w:themeColor="text1"/>
          <w:sz w:val="19"/>
          <w:szCs w:val="19"/>
          <w:shd w:val="clear" w:color="auto" w:fill="FFFFFF"/>
        </w:rPr>
        <w:t>enrolled in 2013)</w:t>
      </w:r>
      <w:r w:rsidR="00477B10" w:rsidRPr="00966287">
        <w:rPr>
          <w:rStyle w:val="FootnoteReference"/>
          <w:rFonts w:ascii="Calibri" w:hAnsi="Calibri"/>
          <w:color w:val="000000" w:themeColor="text1"/>
          <w:sz w:val="19"/>
          <w:szCs w:val="19"/>
          <w:shd w:val="clear" w:color="auto" w:fill="FFFFFF"/>
        </w:rPr>
        <w:footnoteReference w:id="1"/>
      </w:r>
      <w:r w:rsidRPr="00966287">
        <w:rPr>
          <w:rFonts w:ascii="Calibri" w:hAnsi="Calibri"/>
          <w:color w:val="000000" w:themeColor="text1"/>
          <w:sz w:val="19"/>
          <w:szCs w:val="19"/>
          <w:shd w:val="clear" w:color="auto" w:fill="FFFFFF"/>
        </w:rPr>
        <w:t xml:space="preserve">. However, </w:t>
      </w:r>
      <w:r w:rsidR="00F35F75" w:rsidRPr="00966287">
        <w:rPr>
          <w:rFonts w:ascii="Calibri" w:hAnsi="Calibri"/>
          <w:b/>
          <w:color w:val="000000" w:themeColor="text1"/>
          <w:sz w:val="19"/>
          <w:szCs w:val="19"/>
          <w:shd w:val="clear" w:color="auto" w:fill="FFFFFF"/>
        </w:rPr>
        <w:t>Florida</w:t>
      </w:r>
      <w:r w:rsidR="00966287" w:rsidRPr="00966287">
        <w:rPr>
          <w:rFonts w:ascii="Calibri" w:hAnsi="Calibri"/>
          <w:b/>
          <w:color w:val="000000" w:themeColor="text1"/>
          <w:sz w:val="19"/>
          <w:szCs w:val="19"/>
          <w:shd w:val="clear" w:color="auto" w:fill="FFFFFF"/>
        </w:rPr>
        <w:t xml:space="preserve">’s funding </w:t>
      </w:r>
      <w:r w:rsidRPr="00966287">
        <w:rPr>
          <w:rFonts w:ascii="Calibri" w:hAnsi="Calibri"/>
          <w:b/>
          <w:color w:val="000000" w:themeColor="text1"/>
          <w:sz w:val="19"/>
          <w:szCs w:val="19"/>
          <w:shd w:val="clear" w:color="auto" w:fill="FFFFFF"/>
        </w:rPr>
        <w:t>rank</w:t>
      </w:r>
      <w:r w:rsidR="00F35F75" w:rsidRPr="00966287">
        <w:rPr>
          <w:rFonts w:ascii="Calibri" w:hAnsi="Calibri"/>
          <w:b/>
          <w:color w:val="000000" w:themeColor="text1"/>
          <w:sz w:val="19"/>
          <w:szCs w:val="19"/>
          <w:shd w:val="clear" w:color="auto" w:fill="FFFFFF"/>
        </w:rPr>
        <w:t>s</w:t>
      </w:r>
      <w:r w:rsidRPr="00966287">
        <w:rPr>
          <w:rFonts w:ascii="Calibri" w:hAnsi="Calibri"/>
          <w:b/>
          <w:color w:val="000000" w:themeColor="text1"/>
          <w:sz w:val="19"/>
          <w:szCs w:val="19"/>
          <w:shd w:val="clear" w:color="auto" w:fill="FFFFFF"/>
        </w:rPr>
        <w:t xml:space="preserve"> 35th </w:t>
      </w:r>
      <w:r w:rsidR="00966287" w:rsidRPr="00966287">
        <w:rPr>
          <w:rFonts w:ascii="Calibri" w:hAnsi="Calibri"/>
          <w:b/>
          <w:color w:val="000000" w:themeColor="text1"/>
          <w:sz w:val="19"/>
          <w:szCs w:val="19"/>
          <w:shd w:val="clear" w:color="auto" w:fill="FFFFFF"/>
        </w:rPr>
        <w:t>in the United States</w:t>
      </w:r>
      <w:r w:rsidR="007A3703" w:rsidRPr="00966287">
        <w:rPr>
          <w:rFonts w:ascii="Calibri" w:hAnsi="Calibri"/>
          <w:b/>
          <w:color w:val="000000" w:themeColor="text1"/>
          <w:sz w:val="19"/>
          <w:szCs w:val="19"/>
          <w:shd w:val="clear" w:color="auto" w:fill="FFFFFF"/>
        </w:rPr>
        <w:t>.</w:t>
      </w:r>
      <w:r w:rsidRPr="00966287">
        <w:rPr>
          <w:rFonts w:ascii="Calibri" w:hAnsi="Calibri"/>
          <w:b/>
          <w:color w:val="000000" w:themeColor="text1"/>
          <w:sz w:val="19"/>
          <w:szCs w:val="19"/>
          <w:shd w:val="clear" w:color="auto" w:fill="FFFFFF"/>
        </w:rPr>
        <w:t xml:space="preserve"> </w:t>
      </w:r>
      <w:r w:rsidR="008458B0" w:rsidRPr="00966287">
        <w:rPr>
          <w:rFonts w:ascii="Calibri" w:hAnsi="Calibri"/>
          <w:b/>
          <w:color w:val="000000" w:themeColor="text1"/>
          <w:sz w:val="19"/>
          <w:szCs w:val="19"/>
          <w:shd w:val="clear" w:color="auto" w:fill="FFFFFF"/>
        </w:rPr>
        <w:t>A combination of increased funding per child and expanded hours</w:t>
      </w:r>
      <w:r w:rsidR="008458B0" w:rsidRPr="00966287">
        <w:rPr>
          <w:rFonts w:ascii="Calibri" w:hAnsi="Calibri"/>
          <w:color w:val="000000" w:themeColor="text1"/>
          <w:sz w:val="19"/>
          <w:szCs w:val="19"/>
          <w:shd w:val="clear" w:color="auto" w:fill="FFFFFF"/>
        </w:rPr>
        <w:t xml:space="preserve"> would assure better preparedness for kindergarten with more highly qualified teachers </w:t>
      </w:r>
      <w:r w:rsidR="007A3703" w:rsidRPr="00966287">
        <w:rPr>
          <w:rFonts w:ascii="Calibri" w:hAnsi="Calibri"/>
          <w:color w:val="000000" w:themeColor="text1"/>
          <w:sz w:val="19"/>
          <w:szCs w:val="19"/>
          <w:shd w:val="clear" w:color="auto" w:fill="FFFFFF"/>
        </w:rPr>
        <w:t>to prepare our young children for success.</w:t>
      </w:r>
    </w:p>
    <w:p w:rsidR="00F35F75" w:rsidRPr="00F35F75" w:rsidRDefault="009134A0" w:rsidP="00966287">
      <w:pPr>
        <w:pStyle w:val="Heading1"/>
        <w:jc w:val="both"/>
        <w:rPr>
          <w:b/>
          <w:i/>
        </w:rPr>
      </w:pPr>
      <w:r w:rsidRPr="00F35F75">
        <w:rPr>
          <w:b/>
        </w:rPr>
        <w:t xml:space="preserve">The Net Result: </w:t>
      </w:r>
      <w:r w:rsidRPr="00F35F75">
        <w:rPr>
          <w:b/>
          <w:i/>
        </w:rPr>
        <w:t xml:space="preserve">A Hurricane of </w:t>
      </w:r>
      <w:r w:rsidR="00F35F75" w:rsidRPr="00F35F75">
        <w:rPr>
          <w:b/>
          <w:i/>
        </w:rPr>
        <w:t>R</w:t>
      </w:r>
      <w:r w:rsidR="00F35F75">
        <w:rPr>
          <w:b/>
          <w:i/>
        </w:rPr>
        <w:t>ed Tape</w:t>
      </w:r>
    </w:p>
    <w:p w:rsidR="009134A0" w:rsidRPr="00F35F75" w:rsidRDefault="009134A0" w:rsidP="00966287">
      <w:pPr>
        <w:pStyle w:val="Subtitle"/>
        <w:jc w:val="both"/>
        <w:rPr>
          <w:color w:val="000000" w:themeColor="text1"/>
        </w:rPr>
      </w:pPr>
      <w:r w:rsidRPr="00F35F75">
        <w:rPr>
          <w:color w:val="000000" w:themeColor="text1"/>
        </w:rPr>
        <w:t xml:space="preserve">We believe that our kids are worth </w:t>
      </w:r>
      <w:r w:rsidR="00F35F75" w:rsidRPr="00F35F75">
        <w:rPr>
          <w:color w:val="000000" w:themeColor="text1"/>
        </w:rPr>
        <w:t>the investment to get</w:t>
      </w:r>
      <w:r w:rsidR="007A3703">
        <w:rPr>
          <w:color w:val="000000" w:themeColor="text1"/>
        </w:rPr>
        <w:t xml:space="preserve"> them started on the right foot –</w:t>
      </w:r>
      <w:r w:rsidRPr="00F35F75">
        <w:rPr>
          <w:color w:val="000000" w:themeColor="text1"/>
        </w:rPr>
        <w:t xml:space="preserve"> ready</w:t>
      </w:r>
      <w:r w:rsidR="007A3703">
        <w:rPr>
          <w:color w:val="000000" w:themeColor="text1"/>
        </w:rPr>
        <w:t xml:space="preserve"> </w:t>
      </w:r>
      <w:r w:rsidRPr="00F35F75">
        <w:rPr>
          <w:color w:val="000000" w:themeColor="text1"/>
        </w:rPr>
        <w:t xml:space="preserve">to learn in Kindergarten. It’s more costly in the long-run </w:t>
      </w:r>
      <w:r w:rsidR="00F35F75" w:rsidRPr="00F35F75">
        <w:rPr>
          <w:color w:val="000000" w:themeColor="text1"/>
        </w:rPr>
        <w:t xml:space="preserve">to provide remedial education </w:t>
      </w:r>
      <w:r w:rsidR="007A3703">
        <w:rPr>
          <w:color w:val="000000" w:themeColor="text1"/>
        </w:rPr>
        <w:t>for ki</w:t>
      </w:r>
      <w:r w:rsidR="00966287">
        <w:rPr>
          <w:color w:val="000000" w:themeColor="text1"/>
        </w:rPr>
        <w:t xml:space="preserve">ds who haven’t been prepared. An </w:t>
      </w:r>
      <w:r w:rsidR="007A3703">
        <w:rPr>
          <w:color w:val="000000" w:themeColor="text1"/>
        </w:rPr>
        <w:t>investme</w:t>
      </w:r>
      <w:r w:rsidR="00966287">
        <w:rPr>
          <w:color w:val="000000" w:themeColor="text1"/>
        </w:rPr>
        <w:t>nt in early childhood education</w:t>
      </w:r>
      <w:r w:rsidR="007A3703">
        <w:rPr>
          <w:color w:val="000000" w:themeColor="text1"/>
        </w:rPr>
        <w:t xml:space="preserve"> offers our</w:t>
      </w:r>
      <w:r w:rsidRPr="00F35F75">
        <w:rPr>
          <w:color w:val="000000" w:themeColor="text1"/>
        </w:rPr>
        <w:t xml:space="preserve"> children</w:t>
      </w:r>
      <w:r w:rsidR="007A3703">
        <w:rPr>
          <w:color w:val="000000" w:themeColor="text1"/>
        </w:rPr>
        <w:t xml:space="preserve"> </w:t>
      </w:r>
      <w:r w:rsidRPr="00F35F75">
        <w:rPr>
          <w:color w:val="000000" w:themeColor="text1"/>
        </w:rPr>
        <w:t>the opportunit</w:t>
      </w:r>
      <w:r w:rsidR="007A3703">
        <w:rPr>
          <w:color w:val="000000" w:themeColor="text1"/>
        </w:rPr>
        <w:t>y</w:t>
      </w:r>
      <w:r w:rsidRPr="00F35F75">
        <w:rPr>
          <w:color w:val="000000" w:themeColor="text1"/>
        </w:rPr>
        <w:t xml:space="preserve"> they deserve </w:t>
      </w:r>
      <w:r w:rsidR="00966287">
        <w:rPr>
          <w:color w:val="000000" w:themeColor="text1"/>
        </w:rPr>
        <w:t xml:space="preserve">to get the chance </w:t>
      </w:r>
      <w:r w:rsidRPr="00F35F75">
        <w:rPr>
          <w:color w:val="000000" w:themeColor="text1"/>
        </w:rPr>
        <w:t>to compete in the future.</w:t>
      </w:r>
    </w:p>
    <w:sectPr w:rsidR="009134A0" w:rsidRPr="00F35F75" w:rsidSect="000E0DA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25" w:rsidRDefault="00EE6F25" w:rsidP="00477B10">
      <w:pPr>
        <w:spacing w:after="0" w:line="240" w:lineRule="auto"/>
      </w:pPr>
      <w:r>
        <w:separator/>
      </w:r>
    </w:p>
  </w:endnote>
  <w:endnote w:type="continuationSeparator" w:id="0">
    <w:p w:rsidR="00EE6F25" w:rsidRDefault="00EE6F25" w:rsidP="0047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25" w:rsidRDefault="00EE6F25" w:rsidP="00477B10">
      <w:pPr>
        <w:spacing w:after="0" w:line="240" w:lineRule="auto"/>
      </w:pPr>
      <w:r>
        <w:separator/>
      </w:r>
    </w:p>
  </w:footnote>
  <w:footnote w:type="continuationSeparator" w:id="0">
    <w:p w:rsidR="00EE6F25" w:rsidRDefault="00EE6F25" w:rsidP="00477B10">
      <w:pPr>
        <w:spacing w:after="0" w:line="240" w:lineRule="auto"/>
      </w:pPr>
      <w:r>
        <w:continuationSeparator/>
      </w:r>
    </w:p>
  </w:footnote>
  <w:footnote w:id="1">
    <w:p w:rsidR="007A3703" w:rsidRPr="007A3703" w:rsidRDefault="007A3703">
      <w:pPr>
        <w:pStyle w:val="FootnoteText"/>
        <w:rPr>
          <w:sz w:val="16"/>
          <w:szCs w:val="16"/>
        </w:rPr>
      </w:pPr>
      <w:r w:rsidRPr="007A3703">
        <w:rPr>
          <w:rStyle w:val="FootnoteReference"/>
          <w:sz w:val="16"/>
          <w:szCs w:val="16"/>
        </w:rPr>
        <w:footnoteRef/>
      </w:r>
      <w:r w:rsidRPr="007A3703">
        <w:rPr>
          <w:sz w:val="16"/>
          <w:szCs w:val="16"/>
        </w:rPr>
        <w:t xml:space="preserve"> The State Of Preschool 2013 - State Preschool Yearbook - National Institute </w:t>
      </w:r>
      <w:r>
        <w:rPr>
          <w:sz w:val="16"/>
          <w:szCs w:val="16"/>
        </w:rPr>
        <w:t>For Early Education Research - w</w:t>
      </w:r>
      <w:r w:rsidRPr="007A3703">
        <w:rPr>
          <w:sz w:val="16"/>
          <w:szCs w:val="16"/>
        </w:rPr>
        <w:t>ww.Nieer.Org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03" w:rsidRDefault="007A37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-60960</wp:posOffset>
          </wp:positionV>
          <wp:extent cx="837565" cy="895350"/>
          <wp:effectExtent l="0" t="0" r="635" b="0"/>
          <wp:wrapSquare wrapText="bothSides"/>
          <wp:docPr id="2" name="Picture 2" descr="C:\Users\annie.elias\Desktop\ANNIE\ADMINISTRATION\LOGOS\COLOR ELC LOGO small for document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.elias\Desktop\ANNIE\ADMINISTRATION\LOGOS\COLOR ELC LOGO small for document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F"/>
    <w:rsid w:val="000E0DAD"/>
    <w:rsid w:val="00192917"/>
    <w:rsid w:val="001946EF"/>
    <w:rsid w:val="00291AB0"/>
    <w:rsid w:val="00477B10"/>
    <w:rsid w:val="00667AD8"/>
    <w:rsid w:val="00671623"/>
    <w:rsid w:val="007A3703"/>
    <w:rsid w:val="008458B0"/>
    <w:rsid w:val="00853712"/>
    <w:rsid w:val="009134A0"/>
    <w:rsid w:val="00966287"/>
    <w:rsid w:val="009A24FE"/>
    <w:rsid w:val="009B55AC"/>
    <w:rsid w:val="00B34920"/>
    <w:rsid w:val="00E31FF9"/>
    <w:rsid w:val="00E339CE"/>
    <w:rsid w:val="00EE6F25"/>
    <w:rsid w:val="00F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12A04A-0460-426F-91BB-00C21736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6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46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6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946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E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34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7B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B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B10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F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5F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CE"/>
  </w:style>
  <w:style w:type="paragraph" w:styleId="Footer">
    <w:name w:val="footer"/>
    <w:basedOn w:val="Normal"/>
    <w:link w:val="FooterChar"/>
    <w:uiPriority w:val="99"/>
    <w:unhideWhenUsed/>
    <w:rsid w:val="00E3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t\Desktop\reemailingscan\Copy%20of%20Copy%20of%20VPK%20RATES%20COMPARIS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59216867425386"/>
          <c:y val="3.1389651357193585E-2"/>
          <c:w val="0.70455579132713464"/>
          <c:h val="0.89778294252658619"/>
        </c:manualLayout>
      </c:layout>
      <c:lineChart>
        <c:grouping val="standard"/>
        <c:varyColors val="0"/>
        <c:ser>
          <c:idx val="0"/>
          <c:order val="0"/>
          <c:tx>
            <c:v>Dollars Per Child</c:v>
          </c:tx>
          <c:marker>
            <c:symbol val="none"/>
          </c:marker>
          <c:cat>
            <c:strRef>
              <c:f>'[Copy of Copy of VPK RATES COMPARISON.xlsx]annual BSA'!$D$28:$L$28</c:f>
              <c:strCache>
                <c:ptCount val="9"/>
                <c:pt idx="0">
                  <c:v>2006-07</c:v>
                </c:pt>
                <c:pt idx="1">
                  <c:v>2007-08</c:v>
                </c:pt>
                <c:pt idx="2">
                  <c:v>2008-09</c:v>
                </c:pt>
                <c:pt idx="3">
                  <c:v>2009-10</c:v>
                </c:pt>
                <c:pt idx="4">
                  <c:v>2010-11</c:v>
                </c:pt>
                <c:pt idx="5">
                  <c:v>2011-12</c:v>
                </c:pt>
                <c:pt idx="6">
                  <c:v>2012-13</c:v>
                </c:pt>
                <c:pt idx="7">
                  <c:v>2013-14</c:v>
                </c:pt>
                <c:pt idx="8">
                  <c:v>2014-15</c:v>
                </c:pt>
              </c:strCache>
            </c:strRef>
          </c:cat>
          <c:val>
            <c:numRef>
              <c:f>'[Copy of Copy of VPK RATES COMPARISON.xlsx]annual BSA'!$M$5:$M$13</c:f>
              <c:numCache>
                <c:formatCode>"$"#,##0.00</c:formatCode>
                <c:ptCount val="9"/>
                <c:pt idx="0">
                  <c:v>2572.7999999999997</c:v>
                </c:pt>
                <c:pt idx="1">
                  <c:v>2701.3607000000002</c:v>
                </c:pt>
                <c:pt idx="2">
                  <c:v>2662.6896000000002</c:v>
                </c:pt>
                <c:pt idx="3">
                  <c:v>2613.6249999999995</c:v>
                </c:pt>
                <c:pt idx="4">
                  <c:v>2607.6035999999999</c:v>
                </c:pt>
                <c:pt idx="5">
                  <c:v>2430.66</c:v>
                </c:pt>
                <c:pt idx="6">
                  <c:v>2434.4728</c:v>
                </c:pt>
                <c:pt idx="7">
                  <c:v>2430.1833999999999</c:v>
                </c:pt>
                <c:pt idx="8">
                  <c:v>2474.0424000000003</c:v>
                </c:pt>
              </c:numCache>
            </c:numRef>
          </c:val>
          <c:smooth val="0"/>
        </c:ser>
        <c:ser>
          <c:idx val="1"/>
          <c:order val="1"/>
          <c:tx>
            <c:v>Dollars Per Child Inflated at CPI</c:v>
          </c:tx>
          <c:marker>
            <c:symbol val="none"/>
          </c:marker>
          <c:cat>
            <c:strRef>
              <c:f>'[Copy of Copy of VPK RATES COMPARISON.xlsx]annual BSA'!$D$28:$L$28</c:f>
              <c:strCache>
                <c:ptCount val="9"/>
                <c:pt idx="0">
                  <c:v>2006-07</c:v>
                </c:pt>
                <c:pt idx="1">
                  <c:v>2007-08</c:v>
                </c:pt>
                <c:pt idx="2">
                  <c:v>2008-09</c:v>
                </c:pt>
                <c:pt idx="3">
                  <c:v>2009-10</c:v>
                </c:pt>
                <c:pt idx="4">
                  <c:v>2010-11</c:v>
                </c:pt>
                <c:pt idx="5">
                  <c:v>2011-12</c:v>
                </c:pt>
                <c:pt idx="6">
                  <c:v>2012-13</c:v>
                </c:pt>
                <c:pt idx="7">
                  <c:v>2013-14</c:v>
                </c:pt>
                <c:pt idx="8">
                  <c:v>2014-15</c:v>
                </c:pt>
              </c:strCache>
            </c:strRef>
          </c:cat>
          <c:val>
            <c:numRef>
              <c:f>'[Copy of Copy of VPK RATES COMPARISON.xlsx]annual BSA'!$N$5:$N$13</c:f>
              <c:numCache>
                <c:formatCode>"$"#,##0.00</c:formatCode>
                <c:ptCount val="9"/>
                <c:pt idx="0">
                  <c:v>2570.2655</c:v>
                </c:pt>
                <c:pt idx="1">
                  <c:v>2652.5139959999997</c:v>
                </c:pt>
                <c:pt idx="2">
                  <c:v>2726.7843878879999</c:v>
                </c:pt>
                <c:pt idx="3">
                  <c:v>2830.4021946277439</c:v>
                </c:pt>
                <c:pt idx="4">
                  <c:v>2717.1861068426342</c:v>
                </c:pt>
                <c:pt idx="5">
                  <c:v>2760.6610845521163</c:v>
                </c:pt>
                <c:pt idx="6">
                  <c:v>2849.0022392577839</c:v>
                </c:pt>
                <c:pt idx="7">
                  <c:v>2908.8312862821972</c:v>
                </c:pt>
                <c:pt idx="8">
                  <c:v>2952.4637555764302</c:v>
                </c:pt>
              </c:numCache>
            </c:numRef>
          </c:val>
          <c:smooth val="0"/>
        </c:ser>
        <c:ser>
          <c:idx val="2"/>
          <c:order val="2"/>
          <c:tx>
            <c:v>Dollars Per Child Inflated at 3%</c:v>
          </c:tx>
          <c:marker>
            <c:symbol val="none"/>
          </c:marker>
          <c:cat>
            <c:strRef>
              <c:f>'[Copy of Copy of VPK RATES COMPARISON.xlsx]annual BSA'!$D$28:$L$28</c:f>
              <c:strCache>
                <c:ptCount val="9"/>
                <c:pt idx="0">
                  <c:v>2006-07</c:v>
                </c:pt>
                <c:pt idx="1">
                  <c:v>2007-08</c:v>
                </c:pt>
                <c:pt idx="2">
                  <c:v>2008-09</c:v>
                </c:pt>
                <c:pt idx="3">
                  <c:v>2009-10</c:v>
                </c:pt>
                <c:pt idx="4">
                  <c:v>2010-11</c:v>
                </c:pt>
                <c:pt idx="5">
                  <c:v>2011-12</c:v>
                </c:pt>
                <c:pt idx="6">
                  <c:v>2012-13</c:v>
                </c:pt>
                <c:pt idx="7">
                  <c:v>2013-14</c:v>
                </c:pt>
                <c:pt idx="8">
                  <c:v>2014-15</c:v>
                </c:pt>
              </c:strCache>
            </c:strRef>
          </c:cat>
          <c:val>
            <c:numRef>
              <c:f>'[Copy of Copy of VPK RATES COMPARISON.xlsx]annual BSA'!$O$5:$O$13</c:f>
              <c:numCache>
                <c:formatCode>"$"#,##0.00</c:formatCode>
                <c:ptCount val="9"/>
                <c:pt idx="0">
                  <c:v>2560.3224999999998</c:v>
                </c:pt>
                <c:pt idx="1">
                  <c:v>2637.1321749999997</c:v>
                </c:pt>
                <c:pt idx="2">
                  <c:v>2716.2461402499994</c:v>
                </c:pt>
                <c:pt idx="3">
                  <c:v>2797.7335244574997</c:v>
                </c:pt>
                <c:pt idx="4">
                  <c:v>2881.6655301912247</c:v>
                </c:pt>
                <c:pt idx="5">
                  <c:v>2968.1154960969611</c:v>
                </c:pt>
                <c:pt idx="6">
                  <c:v>3057.1589609798702</c:v>
                </c:pt>
                <c:pt idx="7">
                  <c:v>3148.8737298092665</c:v>
                </c:pt>
                <c:pt idx="8">
                  <c:v>3243.3399417035448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8820176"/>
        <c:axId val="278814296"/>
      </c:lineChart>
      <c:catAx>
        <c:axId val="278820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8814296"/>
        <c:crosses val="autoZero"/>
        <c:auto val="1"/>
        <c:lblAlgn val="ctr"/>
        <c:lblOffset val="100"/>
        <c:noMultiLvlLbl val="0"/>
      </c:catAx>
      <c:valAx>
        <c:axId val="278814296"/>
        <c:scaling>
          <c:orientation val="minMax"/>
          <c:min val="2425"/>
        </c:scaling>
        <c:delete val="0"/>
        <c:axPos val="l"/>
        <c:majorGridlines/>
        <c:numFmt formatCode="&quot;$&quot;#,##0.00" sourceLinked="1"/>
        <c:majorTickMark val="out"/>
        <c:minorTickMark val="none"/>
        <c:tickLblPos val="nextTo"/>
        <c:crossAx val="278820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577594987100677"/>
          <c:y val="0.37866788978324556"/>
          <c:w val="0.18234805350578714"/>
          <c:h val="0.242598765852661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F758-819D-4314-A3C7-5CA4DA3E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Visaggio</dc:creator>
  <cp:lastModifiedBy>Matt Visaggio</cp:lastModifiedBy>
  <cp:revision>3</cp:revision>
  <dcterms:created xsi:type="dcterms:W3CDTF">2014-12-19T18:13:00Z</dcterms:created>
  <dcterms:modified xsi:type="dcterms:W3CDTF">2015-01-08T20:13:00Z</dcterms:modified>
</cp:coreProperties>
</file>